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37"/>
        <w:tblOverlap w:val="never"/>
        <w:tblW w:w="8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6"/>
        <w:gridCol w:w="2943"/>
        <w:gridCol w:w="1762"/>
        <w:gridCol w:w="2597"/>
      </w:tblGrid>
      <w:tr w:rsidR="00A46F9D" w:rsidRPr="00D92A5C" w:rsidTr="00A46F9D">
        <w:trPr>
          <w:trHeight w:val="808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F9D" w:rsidRPr="00D92A5C" w:rsidRDefault="00A46F9D" w:rsidP="00A46F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92A5C"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w:drawing>
                <wp:anchor distT="0" distB="0" distL="114300" distR="114300" simplePos="0" relativeHeight="251660288" behindDoc="0" locked="0" layoutInCell="1" allowOverlap="1" wp14:anchorId="32689D0D" wp14:editId="725DBF9B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19050</wp:posOffset>
                  </wp:positionV>
                  <wp:extent cx="742950" cy="742950"/>
                  <wp:effectExtent l="0" t="0" r="0" b="0"/>
                  <wp:wrapNone/>
                  <wp:docPr id="1576" name="Imagen 1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A5C"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8C8CE1" wp14:editId="5805590C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28575</wp:posOffset>
                      </wp:positionV>
                      <wp:extent cx="742950" cy="742950"/>
                      <wp:effectExtent l="0" t="0" r="0" b="0"/>
                      <wp:wrapNone/>
                      <wp:docPr id="1571" name="Rectángulo 157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571" o:spid="_x0000_s1026" style="position:absolute;margin-left:18.75pt;margin-top:2.25pt;width:58.5pt;height:58.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" filled="f" stroked="f"/>
                  </w:pict>
                </mc:Fallback>
              </mc:AlternateContent>
            </w:r>
          </w:p>
          <w:p w:rsidR="00A46F9D" w:rsidRPr="00D92A5C" w:rsidRDefault="00A46F9D" w:rsidP="00A46F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73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9D" w:rsidRPr="00D92A5C" w:rsidRDefault="00A46F9D" w:rsidP="00A46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32"/>
                <w:lang w:eastAsia="es-MX"/>
              </w:rPr>
            </w:pPr>
            <w:r w:rsidRPr="00D92A5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Gobierno Municipal de Monterrey</w:t>
            </w:r>
          </w:p>
        </w:tc>
      </w:tr>
      <w:tr w:rsidR="00A46F9D" w:rsidRPr="00D92A5C" w:rsidTr="00A46F9D">
        <w:trPr>
          <w:trHeight w:val="334"/>
        </w:trPr>
        <w:tc>
          <w:tcPr>
            <w:tcW w:w="16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6F9D" w:rsidRPr="00D92A5C" w:rsidRDefault="00A46F9D" w:rsidP="00A46F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730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9D" w:rsidRPr="00D92A5C" w:rsidRDefault="00A46F9D" w:rsidP="00A46F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32"/>
                <w:lang w:eastAsia="es-MX"/>
              </w:rPr>
            </w:pPr>
          </w:p>
        </w:tc>
      </w:tr>
      <w:tr w:rsidR="00A46F9D" w:rsidRPr="00D92A5C" w:rsidTr="00A46F9D">
        <w:trPr>
          <w:trHeight w:val="334"/>
        </w:trPr>
        <w:tc>
          <w:tcPr>
            <w:tcW w:w="16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6F9D" w:rsidRPr="00D92A5C" w:rsidRDefault="00A46F9D" w:rsidP="00A46F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730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9D" w:rsidRPr="00D92A5C" w:rsidRDefault="00A46F9D" w:rsidP="00A46F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32"/>
                <w:lang w:eastAsia="es-MX"/>
              </w:rPr>
            </w:pPr>
          </w:p>
        </w:tc>
      </w:tr>
      <w:tr w:rsidR="00A46F9D" w:rsidRPr="00D92A5C" w:rsidTr="00A46F9D">
        <w:trPr>
          <w:trHeight w:val="311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A46F9D" w:rsidRPr="00D92A5C" w:rsidRDefault="00A46F9D" w:rsidP="00A46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s-MX"/>
              </w:rPr>
            </w:pPr>
            <w:r w:rsidRPr="00D92A5C">
              <w:rPr>
                <w:rFonts w:ascii="Arial" w:eastAsia="Times New Roman" w:hAnsi="Arial" w:cs="Arial"/>
                <w:b/>
                <w:bCs/>
                <w:sz w:val="20"/>
                <w:lang w:eastAsia="es-MX"/>
              </w:rPr>
              <w:t>Título:</w:t>
            </w:r>
          </w:p>
        </w:tc>
        <w:tc>
          <w:tcPr>
            <w:tcW w:w="7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9D" w:rsidRPr="00D92A5C" w:rsidRDefault="00A46F9D" w:rsidP="00A46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es-MX"/>
              </w:rPr>
            </w:pPr>
            <w:r w:rsidRPr="00D92A5C">
              <w:rPr>
                <w:rFonts w:ascii="Arial" w:eastAsia="Times New Roman" w:hAnsi="Arial" w:cs="Arial"/>
                <w:b/>
                <w:bCs/>
                <w:szCs w:val="24"/>
                <w:lang w:eastAsia="es-MX"/>
              </w:rPr>
              <w:t>Minuta de reuniones o eventos</w:t>
            </w:r>
          </w:p>
        </w:tc>
      </w:tr>
      <w:tr w:rsidR="00A46F9D" w:rsidRPr="00D92A5C" w:rsidTr="00A46F9D">
        <w:trPr>
          <w:trHeight w:val="330"/>
        </w:trPr>
        <w:tc>
          <w:tcPr>
            <w:tcW w:w="8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46F9D" w:rsidRPr="00D92A5C" w:rsidRDefault="00A46F9D" w:rsidP="00A46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8"/>
                <w:lang w:eastAsia="es-MX"/>
              </w:rPr>
            </w:pPr>
            <w:r w:rsidRPr="00D92A5C">
              <w:rPr>
                <w:rFonts w:ascii="Arial" w:eastAsia="Times New Roman" w:hAnsi="Arial" w:cs="Arial"/>
                <w:b/>
                <w:bCs/>
                <w:sz w:val="20"/>
                <w:szCs w:val="28"/>
                <w:lang w:eastAsia="es-MX"/>
              </w:rPr>
              <w:t>Información de la Reunión</w:t>
            </w:r>
          </w:p>
        </w:tc>
      </w:tr>
      <w:tr w:rsidR="00A46F9D" w:rsidRPr="00D92A5C" w:rsidTr="00A46F9D">
        <w:trPr>
          <w:trHeight w:val="994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A46F9D" w:rsidRPr="00D92A5C" w:rsidRDefault="00A46F9D" w:rsidP="00A46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s-MX"/>
              </w:rPr>
            </w:pPr>
            <w:r w:rsidRPr="00D92A5C">
              <w:rPr>
                <w:rFonts w:ascii="Arial" w:eastAsia="Times New Roman" w:hAnsi="Arial" w:cs="Arial"/>
                <w:b/>
                <w:bCs/>
                <w:sz w:val="20"/>
                <w:lang w:eastAsia="es-MX"/>
              </w:rPr>
              <w:t>Grupo de trabajo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9D" w:rsidRPr="00D92A5C" w:rsidRDefault="00A46F9D" w:rsidP="00A46F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92A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CONSEJO CONSULTIVO CIUDADANO DE ATENCION AL ADULTO MAYOR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A46F9D" w:rsidRPr="00D92A5C" w:rsidRDefault="00A46F9D" w:rsidP="00A46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s-MX"/>
              </w:rPr>
            </w:pPr>
            <w:r w:rsidRPr="00D92A5C">
              <w:rPr>
                <w:rFonts w:ascii="Arial" w:eastAsia="Times New Roman" w:hAnsi="Arial" w:cs="Arial"/>
                <w:b/>
                <w:bCs/>
                <w:sz w:val="20"/>
                <w:lang w:eastAsia="es-MX"/>
              </w:rPr>
              <w:t>Objetivo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9D" w:rsidRPr="00D92A5C" w:rsidRDefault="00982C59" w:rsidP="00433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SESIÓN ORDINARIA NO. 12</w:t>
            </w:r>
          </w:p>
        </w:tc>
      </w:tr>
      <w:tr w:rsidR="00A46F9D" w:rsidRPr="00D92A5C" w:rsidTr="00A46F9D">
        <w:trPr>
          <w:trHeight w:val="265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46F9D" w:rsidRPr="00D92A5C" w:rsidRDefault="00A46F9D" w:rsidP="00A46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92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Lugar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F9D" w:rsidRPr="00D92A5C" w:rsidRDefault="00214414" w:rsidP="00A46F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SALA DE JUNTAS</w:t>
            </w:r>
            <w:r w:rsidR="00A46F9D" w:rsidRPr="00D92A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DIF MTY</w:t>
            </w: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9D" w:rsidRPr="00D92A5C" w:rsidRDefault="00A46F9D" w:rsidP="00A46F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s-MX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9D" w:rsidRPr="00D92A5C" w:rsidRDefault="00A46F9D" w:rsidP="00A46F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A46F9D" w:rsidRPr="00D92A5C" w:rsidTr="00A46F9D">
        <w:trPr>
          <w:trHeight w:val="269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46F9D" w:rsidRPr="00D92A5C" w:rsidRDefault="00A46F9D" w:rsidP="00A46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92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7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F9D" w:rsidRPr="00D92A5C" w:rsidRDefault="00982C59" w:rsidP="00982C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</w:t>
            </w:r>
            <w:r w:rsidR="00A46F9D" w:rsidRPr="00D92A5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</w:t>
            </w:r>
            <w:r w:rsidR="0092640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2019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4386"/>
        <w:tblW w:w="9799" w:type="dxa"/>
        <w:tblLook w:val="04A0" w:firstRow="1" w:lastRow="0" w:firstColumn="1" w:lastColumn="0" w:noHBand="0" w:noVBand="1"/>
      </w:tblPr>
      <w:tblGrid>
        <w:gridCol w:w="583"/>
        <w:gridCol w:w="2010"/>
        <w:gridCol w:w="7206"/>
      </w:tblGrid>
      <w:tr w:rsidR="00A46F9D" w:rsidTr="00214414">
        <w:trPr>
          <w:trHeight w:val="274"/>
        </w:trPr>
        <w:tc>
          <w:tcPr>
            <w:tcW w:w="583" w:type="dxa"/>
          </w:tcPr>
          <w:p w:rsidR="00A46F9D" w:rsidRPr="00037119" w:rsidRDefault="00A46F9D" w:rsidP="002144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A46F9D" w:rsidRPr="00037119" w:rsidRDefault="00A46F9D" w:rsidP="002144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ASUNTOS</w:t>
            </w:r>
          </w:p>
        </w:tc>
        <w:tc>
          <w:tcPr>
            <w:tcW w:w="7206" w:type="dxa"/>
          </w:tcPr>
          <w:p w:rsidR="00A46F9D" w:rsidRPr="00037119" w:rsidRDefault="00A46F9D" w:rsidP="002144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ACUERDOS</w:t>
            </w:r>
          </w:p>
        </w:tc>
      </w:tr>
      <w:tr w:rsidR="00A46F9D" w:rsidTr="00214414">
        <w:trPr>
          <w:trHeight w:val="311"/>
        </w:trPr>
        <w:tc>
          <w:tcPr>
            <w:tcW w:w="583" w:type="dxa"/>
          </w:tcPr>
          <w:p w:rsidR="00A46F9D" w:rsidRPr="003B38B5" w:rsidRDefault="00A46F9D" w:rsidP="00214414">
            <w:pPr>
              <w:jc w:val="center"/>
              <w:rPr>
                <w:rFonts w:ascii="Arial Narrow" w:hAnsi="Arial Narrow"/>
                <w:sz w:val="28"/>
                <w:szCs w:val="24"/>
              </w:rPr>
            </w:pPr>
            <w:r w:rsidRPr="003B38B5">
              <w:rPr>
                <w:rFonts w:ascii="Arial Narrow" w:hAnsi="Arial Narrow"/>
                <w:sz w:val="28"/>
                <w:szCs w:val="24"/>
              </w:rPr>
              <w:t>1</w:t>
            </w:r>
          </w:p>
        </w:tc>
        <w:tc>
          <w:tcPr>
            <w:tcW w:w="2010" w:type="dxa"/>
          </w:tcPr>
          <w:p w:rsidR="00A46F9D" w:rsidRPr="003B38B5" w:rsidRDefault="00A46F9D" w:rsidP="00214414">
            <w:pPr>
              <w:rPr>
                <w:rFonts w:ascii="Arial Narrow" w:hAnsi="Arial Narrow"/>
                <w:sz w:val="28"/>
                <w:szCs w:val="24"/>
              </w:rPr>
            </w:pPr>
            <w:r w:rsidRPr="003B38B5">
              <w:rPr>
                <w:rFonts w:ascii="Arial Narrow" w:hAnsi="Arial Narrow"/>
                <w:sz w:val="28"/>
                <w:szCs w:val="24"/>
              </w:rPr>
              <w:t>Bienvenida</w:t>
            </w:r>
          </w:p>
        </w:tc>
        <w:tc>
          <w:tcPr>
            <w:tcW w:w="7206" w:type="dxa"/>
            <w:vAlign w:val="center"/>
          </w:tcPr>
          <w:p w:rsidR="00A46F9D" w:rsidRPr="003B38B5" w:rsidRDefault="00A46F9D" w:rsidP="00214414">
            <w:pPr>
              <w:rPr>
                <w:rFonts w:ascii="Arial Narrow" w:hAnsi="Arial Narrow"/>
                <w:sz w:val="28"/>
                <w:szCs w:val="24"/>
              </w:rPr>
            </w:pPr>
            <w:r w:rsidRPr="003B38B5">
              <w:rPr>
                <w:rFonts w:ascii="Arial Narrow" w:hAnsi="Arial Narrow"/>
                <w:sz w:val="28"/>
                <w:szCs w:val="24"/>
              </w:rPr>
              <w:t>Aprobado</w:t>
            </w:r>
          </w:p>
        </w:tc>
      </w:tr>
      <w:tr w:rsidR="00A46F9D" w:rsidTr="00214414">
        <w:trPr>
          <w:trHeight w:val="641"/>
        </w:trPr>
        <w:tc>
          <w:tcPr>
            <w:tcW w:w="583" w:type="dxa"/>
          </w:tcPr>
          <w:p w:rsidR="00A46F9D" w:rsidRPr="003B38B5" w:rsidRDefault="00A46F9D" w:rsidP="00214414">
            <w:pPr>
              <w:jc w:val="center"/>
              <w:rPr>
                <w:rFonts w:ascii="Arial Narrow" w:hAnsi="Arial Narrow"/>
                <w:sz w:val="28"/>
                <w:szCs w:val="24"/>
              </w:rPr>
            </w:pPr>
            <w:r w:rsidRPr="003B38B5">
              <w:rPr>
                <w:rFonts w:ascii="Arial Narrow" w:hAnsi="Arial Narrow"/>
                <w:sz w:val="28"/>
                <w:szCs w:val="24"/>
              </w:rPr>
              <w:t>2</w:t>
            </w:r>
          </w:p>
        </w:tc>
        <w:tc>
          <w:tcPr>
            <w:tcW w:w="2010" w:type="dxa"/>
          </w:tcPr>
          <w:p w:rsidR="00A46F9D" w:rsidRPr="003B38B5" w:rsidRDefault="00A46F9D" w:rsidP="00214414">
            <w:pPr>
              <w:rPr>
                <w:rFonts w:ascii="Arial Narrow" w:hAnsi="Arial Narrow"/>
                <w:sz w:val="28"/>
                <w:szCs w:val="24"/>
              </w:rPr>
            </w:pPr>
            <w:r w:rsidRPr="003B38B5">
              <w:rPr>
                <w:rFonts w:ascii="Arial Narrow" w:hAnsi="Arial Narrow"/>
                <w:sz w:val="28"/>
                <w:szCs w:val="24"/>
              </w:rPr>
              <w:t>Lista de Asistencia</w:t>
            </w:r>
          </w:p>
        </w:tc>
        <w:tc>
          <w:tcPr>
            <w:tcW w:w="7206" w:type="dxa"/>
            <w:vAlign w:val="center"/>
          </w:tcPr>
          <w:p w:rsidR="00A46F9D" w:rsidRPr="003B38B5" w:rsidRDefault="00A46F9D" w:rsidP="00214414">
            <w:pPr>
              <w:rPr>
                <w:rFonts w:ascii="Arial Narrow" w:hAnsi="Arial Narrow"/>
                <w:sz w:val="28"/>
                <w:szCs w:val="24"/>
              </w:rPr>
            </w:pPr>
            <w:r w:rsidRPr="003B38B5">
              <w:rPr>
                <w:rFonts w:ascii="Arial Narrow" w:hAnsi="Arial Narrow"/>
                <w:sz w:val="28"/>
                <w:szCs w:val="24"/>
              </w:rPr>
              <w:t>Aprobado</w:t>
            </w:r>
          </w:p>
        </w:tc>
      </w:tr>
      <w:tr w:rsidR="00A46F9D" w:rsidTr="00712498">
        <w:trPr>
          <w:trHeight w:val="3253"/>
        </w:trPr>
        <w:tc>
          <w:tcPr>
            <w:tcW w:w="583" w:type="dxa"/>
          </w:tcPr>
          <w:p w:rsidR="00A46F9D" w:rsidRPr="003B38B5" w:rsidRDefault="00A46F9D" w:rsidP="00214414">
            <w:pPr>
              <w:jc w:val="center"/>
              <w:rPr>
                <w:rFonts w:ascii="Arial Narrow" w:hAnsi="Arial Narrow"/>
                <w:sz w:val="28"/>
                <w:szCs w:val="24"/>
              </w:rPr>
            </w:pPr>
            <w:r w:rsidRPr="003B38B5">
              <w:rPr>
                <w:rFonts w:ascii="Arial Narrow" w:hAnsi="Arial Narrow"/>
                <w:sz w:val="28"/>
                <w:szCs w:val="24"/>
              </w:rPr>
              <w:t>3</w:t>
            </w:r>
          </w:p>
        </w:tc>
        <w:tc>
          <w:tcPr>
            <w:tcW w:w="2010" w:type="dxa"/>
          </w:tcPr>
          <w:p w:rsidR="00A46F9D" w:rsidRPr="003B38B5" w:rsidRDefault="00A46F9D" w:rsidP="00214414">
            <w:pPr>
              <w:rPr>
                <w:rFonts w:ascii="Arial Narrow" w:hAnsi="Arial Narrow"/>
                <w:sz w:val="28"/>
                <w:szCs w:val="24"/>
              </w:rPr>
            </w:pPr>
            <w:r w:rsidRPr="003B38B5">
              <w:rPr>
                <w:rFonts w:ascii="Arial Narrow" w:hAnsi="Arial Narrow"/>
                <w:sz w:val="28"/>
                <w:szCs w:val="24"/>
              </w:rPr>
              <w:t>Asuntos Generales</w:t>
            </w:r>
          </w:p>
        </w:tc>
        <w:tc>
          <w:tcPr>
            <w:tcW w:w="7206" w:type="dxa"/>
          </w:tcPr>
          <w:p w:rsidR="00712498" w:rsidRPr="00712498" w:rsidRDefault="00712498" w:rsidP="00712498">
            <w:pPr>
              <w:rPr>
                <w:sz w:val="24"/>
              </w:rPr>
            </w:pPr>
            <w:r w:rsidRPr="00712498">
              <w:rPr>
                <w:sz w:val="24"/>
              </w:rPr>
              <w:t>En la Sala de Juntas de la Dirección General de DIF Monterrey, siendo las 16:40</w:t>
            </w:r>
            <w:r>
              <w:rPr>
                <w:sz w:val="24"/>
              </w:rPr>
              <w:t xml:space="preserve"> horas </w:t>
            </w:r>
            <w:r w:rsidRPr="00712498">
              <w:rPr>
                <w:sz w:val="24"/>
              </w:rPr>
              <w:t xml:space="preserve">del día </w:t>
            </w:r>
            <w:r>
              <w:rPr>
                <w:sz w:val="24"/>
              </w:rPr>
              <w:t xml:space="preserve">miércoles 27 </w:t>
            </w:r>
            <w:r w:rsidRPr="00712498">
              <w:rPr>
                <w:sz w:val="24"/>
              </w:rPr>
              <w:t xml:space="preserve">de Marzo del 2019, se da inicio a la doceava reunión del Consejo Consultivo Ciudadano </w:t>
            </w:r>
            <w:r>
              <w:rPr>
                <w:sz w:val="24"/>
              </w:rPr>
              <w:t>de Atención al</w:t>
            </w:r>
            <w:r w:rsidRPr="00712498">
              <w:rPr>
                <w:sz w:val="24"/>
              </w:rPr>
              <w:t xml:space="preserve"> Adulto Mayor del Municipio de Monterrey.</w:t>
            </w:r>
          </w:p>
          <w:p w:rsidR="00712498" w:rsidRPr="00712498" w:rsidRDefault="00712498" w:rsidP="00712498">
            <w:pPr>
              <w:rPr>
                <w:sz w:val="24"/>
              </w:rPr>
            </w:pPr>
            <w:r w:rsidRPr="00712498"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Como primer punto, el Dr. Arroyave da lectura al acta de la Reunión anterior, sin que hubiera ob</w:t>
            </w:r>
            <w:r w:rsidR="004A478B">
              <w:rPr>
                <w:sz w:val="24"/>
              </w:rPr>
              <w:t xml:space="preserve">servaciones por los consejeros </w:t>
            </w:r>
            <w:r w:rsidRPr="00712498">
              <w:rPr>
                <w:sz w:val="24"/>
              </w:rPr>
              <w:t xml:space="preserve">se da por aprobada; posteriormente y como parte de </w:t>
            </w:r>
            <w:r w:rsidR="004A478B">
              <w:rPr>
                <w:sz w:val="24"/>
              </w:rPr>
              <w:t>la orden del día de la reunión, e</w:t>
            </w:r>
            <w:r w:rsidRPr="00712498">
              <w:rPr>
                <w:sz w:val="24"/>
              </w:rPr>
              <w:t>l Dr. Arroyave comenta que con esta reunión concluye el período de funciones del Consejo Ciudadano de</w:t>
            </w:r>
            <w:r w:rsidR="004A478B">
              <w:rPr>
                <w:sz w:val="24"/>
              </w:rPr>
              <w:t xml:space="preserve"> Atención al Adulto Mayor, p</w:t>
            </w:r>
            <w:r w:rsidRPr="00712498">
              <w:rPr>
                <w:sz w:val="24"/>
              </w:rPr>
              <w:t>or lo anterior, comenta que es necesario mantener la continuidad del trabajo realizado y dar seguimiento a las propuestas a</w:t>
            </w:r>
            <w:r w:rsidR="004A478B">
              <w:rPr>
                <w:sz w:val="24"/>
              </w:rPr>
              <w:t>sí como a la continuidad en el C</w:t>
            </w:r>
            <w:r w:rsidRPr="00712498">
              <w:rPr>
                <w:sz w:val="24"/>
              </w:rPr>
              <w:t xml:space="preserve">onsejo de algunas personas que tengan disponibilidad de continuar como consejeros. </w:t>
            </w:r>
          </w:p>
          <w:p w:rsidR="004A478B" w:rsidRDefault="004A478B" w:rsidP="00712498">
            <w:pPr>
              <w:rPr>
                <w:sz w:val="24"/>
              </w:rPr>
            </w:pPr>
          </w:p>
          <w:p w:rsidR="00712498" w:rsidRPr="00712498" w:rsidRDefault="00712498" w:rsidP="00712498">
            <w:pPr>
              <w:rPr>
                <w:sz w:val="24"/>
              </w:rPr>
            </w:pPr>
            <w:r w:rsidRPr="00712498">
              <w:rPr>
                <w:sz w:val="24"/>
              </w:rPr>
              <w:t>Dentro de los asuntos ge</w:t>
            </w:r>
            <w:r w:rsidR="004A478B">
              <w:rPr>
                <w:sz w:val="24"/>
              </w:rPr>
              <w:t>nerales se hace mención de las</w:t>
            </w:r>
            <w:r w:rsidRPr="00712498">
              <w:rPr>
                <w:sz w:val="24"/>
              </w:rPr>
              <w:t xml:space="preserve"> actividades que se están realizando a favor de los adultos mayores, la Lic. María de los Ángeles hace mención del curso de cuidado del adulto mayor,  que está impartiendo Lumen en Casa Club Los Altos dirigida a cuidadores y familiares del adulto mayor.</w:t>
            </w:r>
          </w:p>
          <w:p w:rsidR="004A478B" w:rsidRDefault="004A478B" w:rsidP="00712498">
            <w:pPr>
              <w:rPr>
                <w:sz w:val="24"/>
              </w:rPr>
            </w:pPr>
          </w:p>
          <w:p w:rsidR="00712498" w:rsidRPr="00712498" w:rsidRDefault="00712498" w:rsidP="00712498">
            <w:pPr>
              <w:rPr>
                <w:sz w:val="24"/>
              </w:rPr>
            </w:pPr>
            <w:r w:rsidRPr="00712498">
              <w:rPr>
                <w:sz w:val="24"/>
              </w:rPr>
              <w:t xml:space="preserve">El Ing. </w:t>
            </w:r>
            <w:proofErr w:type="spellStart"/>
            <w:r w:rsidRPr="00712498">
              <w:rPr>
                <w:sz w:val="24"/>
              </w:rPr>
              <w:t>Abiel</w:t>
            </w:r>
            <w:proofErr w:type="spellEnd"/>
            <w:r w:rsidRPr="00712498">
              <w:rPr>
                <w:sz w:val="24"/>
              </w:rPr>
              <w:t xml:space="preserve"> considera importante real</w:t>
            </w:r>
            <w:r w:rsidR="004A478B">
              <w:rPr>
                <w:sz w:val="24"/>
              </w:rPr>
              <w:t>izar un convenio con Facultades</w:t>
            </w:r>
            <w:r w:rsidRPr="00712498">
              <w:rPr>
                <w:sz w:val="24"/>
              </w:rPr>
              <w:t xml:space="preserve"> para localizar estudiantes que estén interesados en el tema del adulto mayor, para que estos realicen acompañamiento con los Consejeros y le den seguimiento a los temas e ir llevando a cabo el relevo</w:t>
            </w:r>
            <w:r w:rsidR="004A478B">
              <w:rPr>
                <w:sz w:val="24"/>
              </w:rPr>
              <w:t xml:space="preserve"> </w:t>
            </w:r>
            <w:r w:rsidRPr="00712498">
              <w:rPr>
                <w:sz w:val="24"/>
              </w:rPr>
              <w:lastRenderedPageBreak/>
              <w:t>intergeneracional.</w:t>
            </w:r>
          </w:p>
          <w:p w:rsidR="004A478B" w:rsidRDefault="004A478B" w:rsidP="00712498">
            <w:pPr>
              <w:rPr>
                <w:sz w:val="24"/>
              </w:rPr>
            </w:pPr>
          </w:p>
          <w:p w:rsidR="004A478B" w:rsidRDefault="00712498" w:rsidP="00712498">
            <w:pPr>
              <w:rPr>
                <w:sz w:val="24"/>
              </w:rPr>
            </w:pPr>
            <w:r w:rsidRPr="00712498">
              <w:rPr>
                <w:sz w:val="24"/>
              </w:rPr>
              <w:t>La Lic. Domene, anuncia el foro de Partici</w:t>
            </w:r>
            <w:r w:rsidR="004A478B">
              <w:rPr>
                <w:sz w:val="24"/>
              </w:rPr>
              <w:t xml:space="preserve">pación Ciudadana, que se llevará a cabo el 29 de Marzo </w:t>
            </w:r>
            <w:r w:rsidRPr="00712498">
              <w:rPr>
                <w:sz w:val="24"/>
              </w:rPr>
              <w:t>para que los Consejeros que quieran asistir y llevar las propuestas y el plan de trabajo, esto con el objetivo que sea contemplado en el Plan Municipal de Desarrollo</w:t>
            </w:r>
            <w:r w:rsidR="004A478B">
              <w:rPr>
                <w:sz w:val="24"/>
              </w:rPr>
              <w:t xml:space="preserve"> </w:t>
            </w:r>
            <w:r w:rsidR="004A478B">
              <w:rPr>
                <w:sz w:val="24"/>
              </w:rPr>
              <w:t>Municipal 2019-2021</w:t>
            </w:r>
            <w:r w:rsidRPr="00712498">
              <w:rPr>
                <w:sz w:val="24"/>
              </w:rPr>
              <w:t xml:space="preserve">. </w:t>
            </w:r>
          </w:p>
          <w:p w:rsidR="00712498" w:rsidRPr="00712498" w:rsidRDefault="004A478B" w:rsidP="00712498">
            <w:pPr>
              <w:rPr>
                <w:sz w:val="24"/>
              </w:rPr>
            </w:pPr>
            <w:r>
              <w:rPr>
                <w:sz w:val="24"/>
              </w:rPr>
              <w:t>Manifiestan</w:t>
            </w:r>
            <w:r w:rsidR="00712498" w:rsidRPr="00712498">
              <w:rPr>
                <w:sz w:val="24"/>
              </w:rPr>
              <w:t xml:space="preserve"> su interés de asistir el Ing. </w:t>
            </w:r>
            <w:proofErr w:type="spellStart"/>
            <w:r w:rsidR="00712498" w:rsidRPr="00712498">
              <w:rPr>
                <w:sz w:val="24"/>
              </w:rPr>
              <w:t>Abiel</w:t>
            </w:r>
            <w:proofErr w:type="spellEnd"/>
            <w:r w:rsidR="00712498" w:rsidRPr="00712498">
              <w:rPr>
                <w:sz w:val="24"/>
              </w:rPr>
              <w:t xml:space="preserve"> y la Lic. Sara Silvia.</w:t>
            </w:r>
          </w:p>
          <w:p w:rsidR="004A478B" w:rsidRDefault="004A478B" w:rsidP="00712498">
            <w:pPr>
              <w:rPr>
                <w:sz w:val="24"/>
              </w:rPr>
            </w:pPr>
          </w:p>
          <w:p w:rsidR="00712498" w:rsidRPr="00712498" w:rsidRDefault="004A478B" w:rsidP="00712498">
            <w:pPr>
              <w:rPr>
                <w:sz w:val="24"/>
              </w:rPr>
            </w:pPr>
            <w:r>
              <w:rPr>
                <w:sz w:val="24"/>
              </w:rPr>
              <w:t>Como  parte del o</w:t>
            </w:r>
            <w:r w:rsidR="00712498" w:rsidRPr="00712498">
              <w:rPr>
                <w:sz w:val="24"/>
              </w:rPr>
              <w:t xml:space="preserve">rden del día, la Lic. Domene hace entrega de reconocimientos  a los consejeros por su participación y disposición durante el periodo de gestión del Consejo. </w:t>
            </w:r>
          </w:p>
          <w:p w:rsidR="004A478B" w:rsidRDefault="004A478B" w:rsidP="00712498">
            <w:pPr>
              <w:rPr>
                <w:sz w:val="24"/>
              </w:rPr>
            </w:pPr>
          </w:p>
          <w:p w:rsidR="00712498" w:rsidRPr="00712498" w:rsidRDefault="00712498" w:rsidP="00712498">
            <w:pPr>
              <w:rPr>
                <w:sz w:val="24"/>
              </w:rPr>
            </w:pPr>
            <w:r w:rsidRPr="00712498">
              <w:rPr>
                <w:sz w:val="24"/>
              </w:rPr>
              <w:t>La Lic. Xochitl Loredo, menciona a los consejeros la importancia que tiene la Procuraduría del Adulto Mayor para instrumentar estrategias de defensa a favor de las personas adultas mayores.</w:t>
            </w:r>
          </w:p>
          <w:p w:rsidR="004A478B" w:rsidRDefault="004A478B" w:rsidP="00712498">
            <w:pPr>
              <w:rPr>
                <w:sz w:val="24"/>
              </w:rPr>
            </w:pPr>
          </w:p>
          <w:p w:rsidR="00712498" w:rsidRPr="00712498" w:rsidRDefault="00712498" w:rsidP="00712498">
            <w:pPr>
              <w:rPr>
                <w:sz w:val="24"/>
              </w:rPr>
            </w:pPr>
            <w:r w:rsidRPr="00712498">
              <w:rPr>
                <w:sz w:val="24"/>
              </w:rPr>
              <w:t>Como último punto de la reunión, el Dr. Arroyave agradece a los consejeros su participación en el Consejo y los invita a manifestar su interés en continuar en el nuevo consejo o en su caso a proponer a personas que tengan el perfil de ser considerados como consejeros.</w:t>
            </w:r>
          </w:p>
          <w:p w:rsidR="00712498" w:rsidRPr="00712498" w:rsidRDefault="00712498" w:rsidP="00712498">
            <w:pPr>
              <w:rPr>
                <w:sz w:val="24"/>
              </w:rPr>
            </w:pPr>
          </w:p>
          <w:p w:rsidR="00712498" w:rsidRPr="00712498" w:rsidRDefault="00712498" w:rsidP="00712498">
            <w:pPr>
              <w:rPr>
                <w:sz w:val="24"/>
              </w:rPr>
            </w:pPr>
            <w:r w:rsidRPr="00712498">
              <w:rPr>
                <w:sz w:val="24"/>
              </w:rPr>
              <w:t>Sin otro punto a tratar y siendo las 17:40 se da por terminada la reunión.</w:t>
            </w:r>
          </w:p>
          <w:p w:rsidR="00A46F9D" w:rsidRPr="00712498" w:rsidRDefault="00A46F9D" w:rsidP="00712498">
            <w:pPr>
              <w:jc w:val="both"/>
              <w:rPr>
                <w:sz w:val="24"/>
              </w:rPr>
            </w:pPr>
          </w:p>
        </w:tc>
      </w:tr>
    </w:tbl>
    <w:p w:rsidR="00A46F9D" w:rsidRDefault="00A46F9D" w:rsidP="00FC611C">
      <w:pPr>
        <w:jc w:val="both"/>
        <w:rPr>
          <w:rFonts w:ascii="Arial Narrow" w:hAnsi="Arial Narrow"/>
          <w:b/>
          <w:sz w:val="24"/>
          <w:szCs w:val="24"/>
        </w:rPr>
      </w:pPr>
    </w:p>
    <w:p w:rsidR="00712498" w:rsidRDefault="00712498" w:rsidP="00FC611C">
      <w:pPr>
        <w:jc w:val="both"/>
        <w:rPr>
          <w:rFonts w:ascii="Arial Narrow" w:hAnsi="Arial Narrow"/>
          <w:b/>
          <w:sz w:val="24"/>
          <w:szCs w:val="24"/>
        </w:rPr>
      </w:pPr>
    </w:p>
    <w:p w:rsidR="00712498" w:rsidRDefault="00712498" w:rsidP="00FC611C">
      <w:pPr>
        <w:jc w:val="both"/>
        <w:rPr>
          <w:rFonts w:ascii="Arial Narrow" w:hAnsi="Arial Narrow"/>
          <w:b/>
          <w:sz w:val="24"/>
          <w:szCs w:val="24"/>
        </w:rPr>
      </w:pPr>
    </w:p>
    <w:p w:rsidR="00712498" w:rsidRDefault="00712498" w:rsidP="00FC611C">
      <w:pPr>
        <w:jc w:val="both"/>
        <w:rPr>
          <w:rFonts w:ascii="Arial Narrow" w:hAnsi="Arial Narrow"/>
          <w:b/>
          <w:sz w:val="24"/>
          <w:szCs w:val="24"/>
        </w:rPr>
      </w:pPr>
    </w:p>
    <w:p w:rsidR="00712498" w:rsidRDefault="00712498" w:rsidP="00FC611C">
      <w:pPr>
        <w:jc w:val="both"/>
        <w:rPr>
          <w:rFonts w:ascii="Arial Narrow" w:hAnsi="Arial Narrow"/>
          <w:b/>
          <w:sz w:val="24"/>
          <w:szCs w:val="24"/>
        </w:rPr>
      </w:pPr>
    </w:p>
    <w:p w:rsidR="004A478B" w:rsidRDefault="004A478B" w:rsidP="00FC611C">
      <w:pPr>
        <w:jc w:val="both"/>
        <w:rPr>
          <w:rFonts w:ascii="Arial Narrow" w:hAnsi="Arial Narrow"/>
          <w:b/>
          <w:sz w:val="24"/>
          <w:szCs w:val="24"/>
        </w:rPr>
      </w:pPr>
    </w:p>
    <w:p w:rsidR="004A478B" w:rsidRDefault="004A478B" w:rsidP="00FC611C">
      <w:pPr>
        <w:jc w:val="both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712498" w:rsidRDefault="00712498" w:rsidP="00FC611C">
      <w:pPr>
        <w:jc w:val="both"/>
        <w:rPr>
          <w:rFonts w:ascii="Arial Narrow" w:hAnsi="Arial Narrow"/>
          <w:b/>
          <w:sz w:val="24"/>
          <w:szCs w:val="24"/>
        </w:rPr>
      </w:pPr>
    </w:p>
    <w:p w:rsidR="00712498" w:rsidRDefault="00712498" w:rsidP="00FC611C">
      <w:pPr>
        <w:jc w:val="both"/>
        <w:rPr>
          <w:rFonts w:ascii="Arial Narrow" w:hAnsi="Arial Narrow"/>
          <w:b/>
          <w:sz w:val="24"/>
          <w:szCs w:val="24"/>
        </w:rPr>
      </w:pPr>
    </w:p>
    <w:p w:rsidR="00712498" w:rsidRDefault="00712498" w:rsidP="00FC611C">
      <w:pPr>
        <w:jc w:val="both"/>
        <w:rPr>
          <w:rFonts w:ascii="Arial Narrow" w:hAnsi="Arial Narrow"/>
          <w:b/>
          <w:sz w:val="24"/>
          <w:szCs w:val="24"/>
        </w:rPr>
      </w:pPr>
    </w:p>
    <w:p w:rsidR="00712498" w:rsidRDefault="00712498" w:rsidP="00FC611C">
      <w:pPr>
        <w:jc w:val="both"/>
        <w:rPr>
          <w:rFonts w:ascii="Arial Narrow" w:hAnsi="Arial Narrow"/>
          <w:b/>
          <w:sz w:val="24"/>
          <w:szCs w:val="24"/>
        </w:rPr>
      </w:pPr>
    </w:p>
    <w:tbl>
      <w:tblPr>
        <w:tblW w:w="10440" w:type="dxa"/>
        <w:tblInd w:w="-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1305"/>
        <w:gridCol w:w="1305"/>
        <w:gridCol w:w="1305"/>
        <w:gridCol w:w="1305"/>
        <w:gridCol w:w="1305"/>
        <w:gridCol w:w="1305"/>
        <w:gridCol w:w="1305"/>
      </w:tblGrid>
      <w:tr w:rsidR="00FA6860" w:rsidRPr="00FA6860" w:rsidTr="00FA6860">
        <w:trPr>
          <w:trHeight w:val="270"/>
        </w:trPr>
        <w:tc>
          <w:tcPr>
            <w:tcW w:w="10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FA68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lastRenderedPageBreak/>
              <w:t>LISTA DE ASISTENTES</w:t>
            </w:r>
          </w:p>
        </w:tc>
      </w:tr>
      <w:tr w:rsidR="00FA6860" w:rsidRPr="00FA6860" w:rsidTr="00FA6860">
        <w:trPr>
          <w:trHeight w:val="270"/>
        </w:trPr>
        <w:tc>
          <w:tcPr>
            <w:tcW w:w="391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391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DEPENDENCIA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FIRMA</w:t>
            </w:r>
          </w:p>
        </w:tc>
      </w:tr>
      <w:tr w:rsidR="00FA6860" w:rsidRPr="00FA6860" w:rsidTr="00FA6860">
        <w:trPr>
          <w:trHeight w:val="270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FA6860" w:rsidRPr="00FA6860" w:rsidTr="0098688C">
        <w:trPr>
          <w:trHeight w:val="840"/>
        </w:trPr>
        <w:tc>
          <w:tcPr>
            <w:tcW w:w="3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MARIA DEL ROCIO DOMENE ZAMBRANO</w:t>
            </w:r>
          </w:p>
        </w:tc>
        <w:tc>
          <w:tcPr>
            <w:tcW w:w="39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DIRECTORA DE OPERACIÓN DEL SISTEMA PARA EL DESARROLLO INTEGRAL DE LA FAMILIA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860" w:rsidRPr="00FA6860" w:rsidRDefault="00C37612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RUBRICA</w:t>
            </w:r>
          </w:p>
        </w:tc>
      </w:tr>
      <w:tr w:rsidR="00FA6860" w:rsidRPr="00FA6860" w:rsidTr="0098688C">
        <w:trPr>
          <w:trHeight w:val="600"/>
        </w:trPr>
        <w:tc>
          <w:tcPr>
            <w:tcW w:w="3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RAYMUNDO ARROYAVE  RODRIGUEZ</w:t>
            </w:r>
          </w:p>
        </w:tc>
        <w:tc>
          <w:tcPr>
            <w:tcW w:w="39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860" w:rsidRPr="00FA6860" w:rsidRDefault="00C37612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RUBRICA</w:t>
            </w:r>
          </w:p>
        </w:tc>
      </w:tr>
      <w:tr w:rsidR="00FA6860" w:rsidRPr="00FA6860" w:rsidTr="0098688C">
        <w:trPr>
          <w:trHeight w:val="600"/>
        </w:trPr>
        <w:tc>
          <w:tcPr>
            <w:tcW w:w="3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HECTOR EMILIO AYALA MORALES </w:t>
            </w:r>
          </w:p>
        </w:tc>
        <w:tc>
          <w:tcPr>
            <w:tcW w:w="39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860" w:rsidRPr="00FA6860" w:rsidRDefault="00982C59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 JUSTIFICA INASISTENCIA</w:t>
            </w:r>
          </w:p>
        </w:tc>
      </w:tr>
      <w:tr w:rsidR="00FA6860" w:rsidRPr="00FA6860" w:rsidTr="0098688C">
        <w:trPr>
          <w:trHeight w:val="600"/>
        </w:trPr>
        <w:tc>
          <w:tcPr>
            <w:tcW w:w="3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MARÍA DE LOURDES FRANCK</w:t>
            </w:r>
            <w:r w:rsidR="00AF136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</w:t>
            </w: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RAMM</w:t>
            </w:r>
          </w:p>
        </w:tc>
        <w:tc>
          <w:tcPr>
            <w:tcW w:w="39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860" w:rsidRPr="00FA6860" w:rsidRDefault="00C37612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 JUSTIFICA INASISTENCIA</w:t>
            </w:r>
          </w:p>
        </w:tc>
      </w:tr>
      <w:tr w:rsidR="00FA6860" w:rsidRPr="00FA6860" w:rsidTr="0098688C">
        <w:trPr>
          <w:trHeight w:val="600"/>
        </w:trPr>
        <w:tc>
          <w:tcPr>
            <w:tcW w:w="3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ALICIA MARTINEZ BANDA </w:t>
            </w:r>
          </w:p>
        </w:tc>
        <w:tc>
          <w:tcPr>
            <w:tcW w:w="39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860" w:rsidRPr="00FA6860" w:rsidRDefault="00C37612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RUBRICA</w:t>
            </w:r>
          </w:p>
        </w:tc>
      </w:tr>
      <w:tr w:rsidR="00FA6860" w:rsidRPr="00FA6860" w:rsidTr="0098688C">
        <w:trPr>
          <w:trHeight w:val="600"/>
        </w:trPr>
        <w:tc>
          <w:tcPr>
            <w:tcW w:w="3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GUILLERMO VÍLCHEZ</w:t>
            </w:r>
          </w:p>
        </w:tc>
        <w:tc>
          <w:tcPr>
            <w:tcW w:w="39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860" w:rsidRPr="00FA6860" w:rsidRDefault="00C37612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 JUSTIFICA INASISTENCIA</w:t>
            </w:r>
          </w:p>
        </w:tc>
      </w:tr>
      <w:tr w:rsidR="00FA6860" w:rsidRPr="00FA6860" w:rsidTr="0098688C">
        <w:trPr>
          <w:trHeight w:val="600"/>
        </w:trPr>
        <w:tc>
          <w:tcPr>
            <w:tcW w:w="3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MARÍA DEL ROBLE OBANDO RODRÍGUEZ</w:t>
            </w:r>
          </w:p>
        </w:tc>
        <w:tc>
          <w:tcPr>
            <w:tcW w:w="39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860" w:rsidRPr="00FA6860" w:rsidRDefault="00982C59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RUBRICA</w:t>
            </w:r>
          </w:p>
        </w:tc>
      </w:tr>
      <w:tr w:rsidR="00FA6860" w:rsidRPr="00FA6860" w:rsidTr="0098688C">
        <w:trPr>
          <w:trHeight w:val="600"/>
        </w:trPr>
        <w:tc>
          <w:tcPr>
            <w:tcW w:w="3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HIRAM GARRIDO LEDEZMA </w:t>
            </w:r>
          </w:p>
        </w:tc>
        <w:tc>
          <w:tcPr>
            <w:tcW w:w="39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860" w:rsidRPr="00FA6860" w:rsidRDefault="00C37612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 JUSTIFICA INASISTENCIA</w:t>
            </w:r>
          </w:p>
        </w:tc>
      </w:tr>
      <w:tr w:rsidR="00FA6860" w:rsidRPr="00FA6860" w:rsidTr="0098688C">
        <w:trPr>
          <w:trHeight w:val="600"/>
        </w:trPr>
        <w:tc>
          <w:tcPr>
            <w:tcW w:w="3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ABIEL GARZA GARCIA</w:t>
            </w:r>
          </w:p>
        </w:tc>
        <w:tc>
          <w:tcPr>
            <w:tcW w:w="39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860" w:rsidRPr="00FA6860" w:rsidRDefault="00975CAB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RUBRICA</w:t>
            </w:r>
          </w:p>
        </w:tc>
      </w:tr>
      <w:tr w:rsidR="00FA6860" w:rsidRPr="00FA6860" w:rsidTr="0098688C">
        <w:trPr>
          <w:trHeight w:val="600"/>
        </w:trPr>
        <w:tc>
          <w:tcPr>
            <w:tcW w:w="3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CLAUDIA GUARDIOLA MARTÍNEZ</w:t>
            </w:r>
          </w:p>
        </w:tc>
        <w:tc>
          <w:tcPr>
            <w:tcW w:w="39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860" w:rsidRPr="00FA6860" w:rsidRDefault="00C37612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 JUSTIFICA INASISTENCIA</w:t>
            </w:r>
          </w:p>
        </w:tc>
      </w:tr>
      <w:tr w:rsidR="00FA6860" w:rsidRPr="00FA6860" w:rsidTr="0098688C">
        <w:trPr>
          <w:trHeight w:val="600"/>
        </w:trPr>
        <w:tc>
          <w:tcPr>
            <w:tcW w:w="3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SARA SILVIA AYALA ATRIAN</w:t>
            </w:r>
          </w:p>
        </w:tc>
        <w:tc>
          <w:tcPr>
            <w:tcW w:w="39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860" w:rsidRPr="00FA6860" w:rsidRDefault="00975CAB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RUBRICA</w:t>
            </w:r>
          </w:p>
        </w:tc>
      </w:tr>
      <w:tr w:rsidR="00FA6860" w:rsidRPr="00FA6860" w:rsidTr="0098688C">
        <w:trPr>
          <w:trHeight w:val="600"/>
        </w:trPr>
        <w:tc>
          <w:tcPr>
            <w:tcW w:w="3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SIRELDA NAVAR VIZCARRA</w:t>
            </w:r>
          </w:p>
        </w:tc>
        <w:tc>
          <w:tcPr>
            <w:tcW w:w="39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860" w:rsidRPr="00FA6860" w:rsidRDefault="00C37612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 JUSTIFICA INASISTENCIA</w:t>
            </w:r>
          </w:p>
        </w:tc>
      </w:tr>
      <w:tr w:rsidR="00FA6860" w:rsidRPr="00FA6860" w:rsidTr="0098688C">
        <w:trPr>
          <w:trHeight w:val="600"/>
        </w:trPr>
        <w:tc>
          <w:tcPr>
            <w:tcW w:w="3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BENJAMÍN ORTIZ GONZALEZ</w:t>
            </w:r>
          </w:p>
        </w:tc>
        <w:tc>
          <w:tcPr>
            <w:tcW w:w="3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860" w:rsidRPr="00FA6860" w:rsidRDefault="00982C59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RUBRICA</w:t>
            </w:r>
          </w:p>
        </w:tc>
      </w:tr>
      <w:tr w:rsidR="00FA6860" w:rsidRPr="00FA6860" w:rsidTr="0098688C">
        <w:trPr>
          <w:trHeight w:val="600"/>
        </w:trPr>
        <w:tc>
          <w:tcPr>
            <w:tcW w:w="3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MARÍA DE LOS ÁNGELES CAVAZOS BUENO</w:t>
            </w:r>
          </w:p>
        </w:tc>
        <w:tc>
          <w:tcPr>
            <w:tcW w:w="39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860" w:rsidRPr="00FA6860" w:rsidRDefault="00975CAB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RUBRICA</w:t>
            </w:r>
          </w:p>
        </w:tc>
      </w:tr>
      <w:tr w:rsidR="00FA6860" w:rsidRPr="00FA6860" w:rsidTr="0098688C">
        <w:trPr>
          <w:trHeight w:val="600"/>
        </w:trPr>
        <w:tc>
          <w:tcPr>
            <w:tcW w:w="3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ELSA LAURA CANTÚ OCHOA</w:t>
            </w:r>
          </w:p>
        </w:tc>
        <w:tc>
          <w:tcPr>
            <w:tcW w:w="39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6860" w:rsidRPr="00FA6860" w:rsidRDefault="00FA6860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A6860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860" w:rsidRPr="00FA6860" w:rsidRDefault="00C37612" w:rsidP="00FA68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RUBRICA</w:t>
            </w:r>
          </w:p>
        </w:tc>
      </w:tr>
    </w:tbl>
    <w:p w:rsidR="006E12E1" w:rsidRDefault="006E12E1" w:rsidP="001723F6">
      <w:pPr>
        <w:jc w:val="right"/>
        <w:rPr>
          <w:rFonts w:ascii="Arial Narrow" w:hAnsi="Arial Narrow"/>
          <w:sz w:val="24"/>
          <w:szCs w:val="24"/>
        </w:rPr>
      </w:pPr>
    </w:p>
    <w:sectPr w:rsidR="006E12E1" w:rsidSect="00214414">
      <w:pgSz w:w="12240" w:h="15840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A1F" w:rsidRDefault="00024A1F" w:rsidP="00A62A54">
      <w:pPr>
        <w:spacing w:after="0" w:line="240" w:lineRule="auto"/>
      </w:pPr>
      <w:r>
        <w:separator/>
      </w:r>
    </w:p>
  </w:endnote>
  <w:endnote w:type="continuationSeparator" w:id="0">
    <w:p w:rsidR="00024A1F" w:rsidRDefault="00024A1F" w:rsidP="00A6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A1F" w:rsidRDefault="00024A1F" w:rsidP="00A62A54">
      <w:pPr>
        <w:spacing w:after="0" w:line="240" w:lineRule="auto"/>
      </w:pPr>
      <w:r>
        <w:separator/>
      </w:r>
    </w:p>
  </w:footnote>
  <w:footnote w:type="continuationSeparator" w:id="0">
    <w:p w:rsidR="00024A1F" w:rsidRDefault="00024A1F" w:rsidP="00A62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4563E"/>
    <w:multiLevelType w:val="hybridMultilevel"/>
    <w:tmpl w:val="787CD1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54"/>
    <w:rsid w:val="00024A1F"/>
    <w:rsid w:val="00037119"/>
    <w:rsid w:val="000407A9"/>
    <w:rsid w:val="000E1A0F"/>
    <w:rsid w:val="00146956"/>
    <w:rsid w:val="00164DC7"/>
    <w:rsid w:val="001723F6"/>
    <w:rsid w:val="00195614"/>
    <w:rsid w:val="00212520"/>
    <w:rsid w:val="00214414"/>
    <w:rsid w:val="00286B56"/>
    <w:rsid w:val="002F27C0"/>
    <w:rsid w:val="003160C1"/>
    <w:rsid w:val="0039645F"/>
    <w:rsid w:val="003B38B5"/>
    <w:rsid w:val="00433BA4"/>
    <w:rsid w:val="004A478B"/>
    <w:rsid w:val="00503064"/>
    <w:rsid w:val="005A3E1C"/>
    <w:rsid w:val="006102EA"/>
    <w:rsid w:val="0066465E"/>
    <w:rsid w:val="006E12E1"/>
    <w:rsid w:val="006E78E2"/>
    <w:rsid w:val="007065F2"/>
    <w:rsid w:val="00712498"/>
    <w:rsid w:val="007D2997"/>
    <w:rsid w:val="007E5D6A"/>
    <w:rsid w:val="007F33C8"/>
    <w:rsid w:val="00824F98"/>
    <w:rsid w:val="009229CB"/>
    <w:rsid w:val="009234F9"/>
    <w:rsid w:val="0092640F"/>
    <w:rsid w:val="00975CAB"/>
    <w:rsid w:val="00982C59"/>
    <w:rsid w:val="0098688C"/>
    <w:rsid w:val="00A068E3"/>
    <w:rsid w:val="00A46F9D"/>
    <w:rsid w:val="00A62A54"/>
    <w:rsid w:val="00AA3EF4"/>
    <w:rsid w:val="00AF1363"/>
    <w:rsid w:val="00B177CB"/>
    <w:rsid w:val="00B36D60"/>
    <w:rsid w:val="00B702B0"/>
    <w:rsid w:val="00B97E45"/>
    <w:rsid w:val="00C37612"/>
    <w:rsid w:val="00C850A6"/>
    <w:rsid w:val="00CA4129"/>
    <w:rsid w:val="00D30DC2"/>
    <w:rsid w:val="00D9654D"/>
    <w:rsid w:val="00E9025D"/>
    <w:rsid w:val="00ED1343"/>
    <w:rsid w:val="00EF70EE"/>
    <w:rsid w:val="00F23C12"/>
    <w:rsid w:val="00FA3602"/>
    <w:rsid w:val="00FA3C50"/>
    <w:rsid w:val="00FA6860"/>
    <w:rsid w:val="00FC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2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A54"/>
  </w:style>
  <w:style w:type="paragraph" w:styleId="Piedepgina">
    <w:name w:val="footer"/>
    <w:basedOn w:val="Normal"/>
    <w:link w:val="PiedepginaCar"/>
    <w:uiPriority w:val="99"/>
    <w:unhideWhenUsed/>
    <w:rsid w:val="00A62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A54"/>
  </w:style>
  <w:style w:type="paragraph" w:styleId="Textodeglobo">
    <w:name w:val="Balloon Text"/>
    <w:basedOn w:val="Normal"/>
    <w:link w:val="TextodegloboCar"/>
    <w:uiPriority w:val="99"/>
    <w:semiHidden/>
    <w:unhideWhenUsed/>
    <w:rsid w:val="0003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11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7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6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2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A54"/>
  </w:style>
  <w:style w:type="paragraph" w:styleId="Piedepgina">
    <w:name w:val="footer"/>
    <w:basedOn w:val="Normal"/>
    <w:link w:val="PiedepginaCar"/>
    <w:uiPriority w:val="99"/>
    <w:unhideWhenUsed/>
    <w:rsid w:val="00A62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A54"/>
  </w:style>
  <w:style w:type="paragraph" w:styleId="Textodeglobo">
    <w:name w:val="Balloon Text"/>
    <w:basedOn w:val="Normal"/>
    <w:link w:val="TextodegloboCar"/>
    <w:uiPriority w:val="99"/>
    <w:semiHidden/>
    <w:unhideWhenUsed/>
    <w:rsid w:val="0003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11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7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6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619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Negrete Guajardo</dc:creator>
  <cp:lastModifiedBy>Montserrat Hernandez Carreño</cp:lastModifiedBy>
  <cp:revision>4</cp:revision>
  <dcterms:created xsi:type="dcterms:W3CDTF">2019-04-02T14:11:00Z</dcterms:created>
  <dcterms:modified xsi:type="dcterms:W3CDTF">2019-04-02T14:49:00Z</dcterms:modified>
</cp:coreProperties>
</file>